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Applicability determination — SAMPLE</w:t>
      </w:r>
    </w:p>
    <w:p>
      <w:r>
        <w:rPr>
          <w:i/>
          <w:iCs/>
          <w:color w:val="555555"/>
        </w:rPr>
        <w:t xml:space="preserve">Illustrative output for a sample product. Not advice for any real product.</w:t>
      </w:r>
    </w:p>
    <w:p/>
    <w:tbl>
      <w:tblPr>
        <w:tblW w:type="pct" w:w="500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6979"/>
        <w:gridCol w:w="6979"/>
      </w:tblGrid>
      <w:tr>
        <w:trPr>
          <w:tblHeader/>
        </w:trPr>
        <w:tc>
          <w:tcPr>
            <w:shd w:fill="0F766E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shd w:fill="0F766E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Detail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Product</w:t>
            </w:r>
          </w:p>
        </w:tc>
        <w:tc>
          <w:p>
            <w:r>
              <w:rPr>
                <w:sz w:val="18"/>
                <w:szCs w:val="18"/>
              </w:rPr>
              <w:t xml:space="preserve">Sample: automated upper-arm blood-pressure monitor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Description</w:t>
            </w:r>
          </w:p>
        </w:tc>
        <w:tc>
          <w:p>
            <w:r>
              <w:rPr>
                <w:sz w:val="18"/>
                <w:szCs w:val="18"/>
              </w:rPr>
              <w:t xml:space="preserve">Reusable, non-invasive, battery-powered oscillometric monitor with an inflatable arm cuff and a companion app over Bluetooth. Home and clinical use, adults. Sold in the US and EU.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EU classification</w:t>
            </w:r>
          </w:p>
        </w:tc>
        <w:tc>
          <w:p>
            <w:r>
              <w:rPr>
                <w:sz w:val="18"/>
                <w:szCs w:val="18"/>
              </w:rPr>
              <w:t xml:space="preserve">Class IIa (Annex VIII, Rule 10 — active device for diagnosis/monitoring) — Regulation (EU) 2017/745 (MDR)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US classification</w:t>
            </w:r>
          </w:p>
        </w:tc>
        <w:tc>
          <w:p>
            <w:r>
              <w:rPr>
                <w:sz w:val="18"/>
                <w:szCs w:val="18"/>
              </w:rPr>
              <w:t xml:space="preserve">Class II, 510(k) — 21 CFR 870.1130 — non-invasive blood pressure measurement system</w:t>
            </w:r>
          </w:p>
        </w:tc>
      </w:tr>
    </w:tbl>
    <w:p/>
    <w:p>
      <w:pPr>
        <w:pStyle w:val="Heading2"/>
      </w:pPr>
      <w:r>
        <w:t xml:space="preserve">Standards</w:t>
      </w:r>
    </w:p>
    <w:tbl>
      <w:tblPr>
        <w:tblW w:type="pct" w:w="500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4653"/>
        <w:gridCol w:w="4653"/>
        <w:gridCol w:w="4653"/>
      </w:tblGrid>
      <w:tr>
        <w:trPr>
          <w:tblHeader/>
        </w:trPr>
        <w:tc>
          <w:tcPr>
            <w:shd w:fill="0F766E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Standard</w:t>
            </w:r>
          </w:p>
        </w:tc>
        <w:tc>
          <w:tcPr>
            <w:shd w:fill="0F766E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shd w:fill="0F766E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Why it applies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IEC 60601-1</w:t>
            </w:r>
          </w:p>
        </w:tc>
        <w:tc>
          <w:p>
            <w:r>
              <w:rPr>
                <w:sz w:val="18"/>
                <w:szCs w:val="18"/>
              </w:rPr>
              <w:t xml:space="preserve">Medical electrical equipment — basic safety and essential performance</w:t>
            </w:r>
          </w:p>
        </w:tc>
        <w:tc>
          <w:p>
            <w:r>
              <w:rPr>
                <w:sz w:val="18"/>
                <w:szCs w:val="18"/>
              </w:rPr>
              <w:t xml:space="preserve">Electrically powered device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IEC 60601-1-2</w:t>
            </w:r>
          </w:p>
        </w:tc>
        <w:tc>
          <w:p>
            <w:r>
              <w:rPr>
                <w:sz w:val="18"/>
                <w:szCs w:val="18"/>
              </w:rPr>
              <w:t xml:space="preserve">Electromagnetic disturbances (EMC)</w:t>
            </w:r>
          </w:p>
        </w:tc>
        <w:tc>
          <w:p>
            <w:r>
              <w:rPr>
                <w:sz w:val="18"/>
                <w:szCs w:val="18"/>
              </w:rPr>
              <w:t xml:space="preserve">Electronics + Bluetooth radio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IEC 60601-1-11</w:t>
            </w:r>
          </w:p>
        </w:tc>
        <w:tc>
          <w:p>
            <w:r>
              <w:rPr>
                <w:sz w:val="18"/>
                <w:szCs w:val="18"/>
              </w:rPr>
              <w:t xml:space="preserve">Home healthcare environment</w:t>
            </w:r>
          </w:p>
        </w:tc>
        <w:tc>
          <w:p>
            <w:r>
              <w:rPr>
                <w:sz w:val="18"/>
                <w:szCs w:val="18"/>
              </w:rPr>
              <w:t xml:space="preserve">Intended for home use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IEC 80601-2-30</w:t>
            </w:r>
          </w:p>
        </w:tc>
        <w:tc>
          <w:p>
            <w:r>
              <w:rPr>
                <w:sz w:val="18"/>
                <w:szCs w:val="18"/>
              </w:rPr>
              <w:t xml:space="preserve">Automated non-invasive sphygmomanometers</w:t>
            </w:r>
          </w:p>
        </w:tc>
        <w:tc>
          <w:p>
            <w:r>
              <w:rPr>
                <w:sz w:val="18"/>
                <w:szCs w:val="18"/>
              </w:rPr>
              <w:t xml:space="preserve">Particular standard for this device type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ISO 81060-2</w:t>
            </w:r>
          </w:p>
        </w:tc>
        <w:tc>
          <w:p>
            <w:r>
              <w:rPr>
                <w:sz w:val="18"/>
                <w:szCs w:val="18"/>
              </w:rPr>
              <w:t xml:space="preserve">Clinical investigation of intermittent automated measurement type</w:t>
            </w:r>
          </w:p>
        </w:tc>
        <w:tc>
          <w:p>
            <w:r>
              <w:rPr>
                <w:sz w:val="18"/>
                <w:szCs w:val="18"/>
              </w:rPr>
              <w:t xml:space="preserve">Clinical validation of accuracy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ISO 14971</w:t>
            </w:r>
          </w:p>
        </w:tc>
        <w:tc>
          <w:p>
            <w:r>
              <w:rPr>
                <w:sz w:val="18"/>
                <w:szCs w:val="18"/>
              </w:rPr>
              <w:t xml:space="preserve">Application of risk management to medical devices</w:t>
            </w:r>
          </w:p>
        </w:tc>
        <w:tc>
          <w:p>
            <w:r>
              <w:rPr>
                <w:sz w:val="18"/>
                <w:szCs w:val="18"/>
              </w:rPr>
              <w:t xml:space="preserve">All medical devices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IEC 62304</w:t>
            </w:r>
          </w:p>
        </w:tc>
        <w:tc>
          <w:p>
            <w:r>
              <w:rPr>
                <w:sz w:val="18"/>
                <w:szCs w:val="18"/>
              </w:rPr>
              <w:t xml:space="preserve">Medical device software — life cycle processes</w:t>
            </w:r>
          </w:p>
        </w:tc>
        <w:tc>
          <w:p>
            <w:r>
              <w:rPr>
                <w:sz w:val="18"/>
                <w:szCs w:val="18"/>
              </w:rPr>
              <w:t xml:space="preserve">Embedded firmware + app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IEC 62366-1</w:t>
            </w:r>
          </w:p>
        </w:tc>
        <w:tc>
          <w:p>
            <w:r>
              <w:rPr>
                <w:sz w:val="18"/>
                <w:szCs w:val="18"/>
              </w:rPr>
              <w:t xml:space="preserve">Usability engineering</w:t>
            </w:r>
          </w:p>
        </w:tc>
        <w:tc>
          <w:p>
            <w:r>
              <w:rPr>
                <w:sz w:val="18"/>
                <w:szCs w:val="18"/>
              </w:rPr>
              <w:t xml:space="preserve">Lay users at home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ISO 10993-1</w:t>
            </w:r>
          </w:p>
        </w:tc>
        <w:tc>
          <w:p>
            <w:r>
              <w:rPr>
                <w:sz w:val="18"/>
                <w:szCs w:val="18"/>
              </w:rPr>
              <w:t xml:space="preserve">Biological evaluation — evaluation and testing</w:t>
            </w:r>
          </w:p>
        </w:tc>
        <w:tc>
          <w:p>
            <w:r>
              <w:rPr>
                <w:sz w:val="18"/>
                <w:szCs w:val="18"/>
              </w:rPr>
              <w:t xml:space="preserve">Cuff in contact with intact skin</w:t>
            </w:r>
          </w:p>
        </w:tc>
      </w:tr>
      <w:tr>
        <w:tc>
          <w:p>
            <w:r>
              <w:rPr>
                <w:sz w:val="18"/>
                <w:szCs w:val="18"/>
              </w:rPr>
              <w:t xml:space="preserve">ISO 15223-1</w:t>
            </w:r>
          </w:p>
        </w:tc>
        <w:tc>
          <w:p>
            <w:r>
              <w:rPr>
                <w:sz w:val="18"/>
                <w:szCs w:val="18"/>
              </w:rPr>
              <w:t xml:space="preserve">Symbols for labels and information</w:t>
            </w:r>
          </w:p>
        </w:tc>
        <w:tc>
          <w:p>
            <w:r>
              <w:rPr>
                <w:sz w:val="18"/>
                <w:szCs w:val="18"/>
              </w:rPr>
              <w:t xml:space="preserve">Labeling</w:t>
            </w:r>
          </w:p>
        </w:tc>
      </w:tr>
    </w:tbl>
    <w:p/>
    <w:p>
      <w:pPr>
        <w:jc w:val="left"/>
      </w:pPr>
      <w:r>
        <w:rPr>
          <w:i/>
          <w:iCs/>
          <w:color w:val="777777"/>
          <w:sz w:val="16"/>
          <w:szCs w:val="16"/>
        </w:rPr>
        <w:t xml:space="preserve">Sample generated by the public demo. In a workspace, every item carries confidence, source and a named reviewer's decision.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Applicability determination — SAMPLE</dc:title>
  <dc:creator>RegMatrix</dc:creator>
  <cp:lastModifiedBy>Un-named</cp:lastModifiedBy>
  <cp:revision>1</cp:revision>
  <dcterms:created xsi:type="dcterms:W3CDTF">2026-10-12T04:52:33.210Z</dcterms:created>
  <dcterms:modified xsi:type="dcterms:W3CDTF">2026-10-12T04:52:33.210Z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